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ackground w:color="FFFFFF"/>
  <w:body>
    <w:p w:rsidR="00000000" w:rsidDel="00000000" w:rsidP="00000000" w:rsidRDefault="00000000" w:rsidRPr="00000000" w14:paraId="00000001">
      <w:pPr>
        <w:pStyle w:val="Title"/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pgSz w:h="15840" w:w="12240" w:orient="portrait"/>
          <w:pgMar w:bottom="1440" w:top="1440" w:left="1440" w:right="1440" w:header="720" w:footer="720"/>
          <w:pgNumType w:start="1"/>
        </w:sectPr>
      </w:pPr>
      <w:bookmarkStart w:colFirst="0" w:colLast="0" w:name="_d1nschgbxd4p" w:id="0"/>
      <w:bookmarkEnd w:id="0"/>
      <w:r w:rsidDel="00000000" w:rsidR="00000000" w:rsidRPr="00000000">
        <w:rPr>
          <w:rFonts w:ascii="Roboto Medium" w:cs="Roboto Medium" w:eastAsia="Roboto Medium" w:hAnsi="Roboto Medium"/>
          <w:b w:val="0"/>
          <w:i w:val="0"/>
          <w:smallCaps w:val="0"/>
          <w:strike w:val="0"/>
          <w:color w:val="1f1f1f"/>
          <w:sz w:val="120"/>
          <w:szCs w:val="120"/>
          <w:u w:val="none"/>
          <w:shd w:fill="auto" w:val="clear"/>
          <w:vertAlign w:val="baseline"/>
          <w:rtl w:val="0"/>
        </w:rPr>
        <w:t xml:space="preserve">Project brief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7315200" cy="2032000"/>
            <wp:effectExtent b="0" l="0" r="0" t="0"/>
            <wp:docPr descr="An image of blue sticky notes on a wall with a yellow one standing out" id="1" name="image1.jpg"/>
            <a:graphic>
              <a:graphicData uri="http://schemas.openxmlformats.org/drawingml/2006/picture">
                <pic:pic>
                  <pic:nvPicPr>
                    <pic:cNvPr descr="An image of blue sticky notes on a wall with a yellow one standing out" id="0" name="image1.jpg"/>
                    <pic:cNvPicPr preferRelativeResize="0"/>
                  </pic:nvPicPr>
                  <pic:blipFill>
                    <a:blip r:embed="rId6"/>
                    <a:srcRect b="39776" l="0" r="0" t="18546"/>
                    <a:stretch>
                      <a:fillRect/>
                    </a:stretch>
                  </pic:blipFill>
                  <pic:spPr>
                    <a:xfrm>
                      <a:off x="0" y="0"/>
                      <a:ext cx="7315200" cy="2032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pStyle w:val="Title"/>
        <w:spacing w:after="240" w:before="240" w:lineRule="auto"/>
        <w:rPr>
          <w:rFonts w:ascii="IBM Plex Sans Medium" w:cs="IBM Plex Sans Medium" w:eastAsia="IBM Plex Sans Medium" w:hAnsi="IBM Plex Sans Medium"/>
          <w:sz w:val="104"/>
          <w:szCs w:val="104"/>
        </w:rPr>
      </w:pPr>
      <w:bookmarkStart w:colFirst="0" w:colLast="0" w:name="_u2wjruipolzj" w:id="1"/>
      <w:bookmarkEnd w:id="1"/>
      <w:r w:rsidDel="00000000" w:rsidR="00000000" w:rsidRPr="00000000">
        <w:rPr>
          <w:rFonts w:ascii="IBM Plex Sans Medium" w:cs="IBM Plex Sans Medium" w:eastAsia="IBM Plex Sans Medium" w:hAnsi="IBM Plex Sans Medium"/>
          <w:b w:val="1"/>
          <w:sz w:val="104"/>
          <w:szCs w:val="104"/>
          <w:rtl w:val="0"/>
        </w:rPr>
        <w:t xml:space="preserve">Development Team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spacing w:after="80" w:lineRule="auto"/>
        <w:rPr>
          <w:rFonts w:ascii="IBM Plex Sans" w:cs="IBM Plex Sans" w:eastAsia="IBM Plex Sans" w:hAnsi="IBM Plex Sans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spacing w:after="240" w:before="240" w:lineRule="auto"/>
        <w:rPr>
          <w:rFonts w:ascii="IBM Plex Sans" w:cs="IBM Plex Sans" w:eastAsia="IBM Plex Sans" w:hAnsi="IBM Plex Sans"/>
          <w:b w:val="1"/>
        </w:rPr>
      </w:pPr>
      <w:r w:rsidDel="00000000" w:rsidR="00000000" w:rsidRPr="00000000">
        <w:rPr>
          <w:rFonts w:ascii="IBM Plex Sans" w:cs="IBM Plex Sans" w:eastAsia="IBM Plex Sans" w:hAnsi="IBM Plex Sans"/>
          <w:b w:val="1"/>
          <w:rtl w:val="0"/>
        </w:rPr>
        <w:t xml:space="preserve">Technology Stack:</w:t>
      </w:r>
    </w:p>
    <w:p w:rsidR="00000000" w:rsidDel="00000000" w:rsidP="00000000" w:rsidRDefault="00000000" w:rsidRPr="00000000" w14:paraId="00000006">
      <w:pPr>
        <w:numPr>
          <w:ilvl w:val="0"/>
          <w:numId w:val="3"/>
        </w:numPr>
        <w:spacing w:after="0" w:afterAutospacing="0" w:before="240" w:lineRule="auto"/>
        <w:ind w:left="720" w:hanging="360"/>
        <w:rPr>
          <w:rFonts w:ascii="IBM Plex Sans" w:cs="IBM Plex Sans" w:eastAsia="IBM Plex Sans" w:hAnsi="IBM Plex Sans"/>
        </w:rPr>
      </w:pPr>
      <w:r w:rsidDel="00000000" w:rsidR="00000000" w:rsidRPr="00000000">
        <w:rPr>
          <w:rFonts w:ascii="IBM Plex Sans" w:cs="IBM Plex Sans" w:eastAsia="IBM Plex Sans" w:hAnsi="IBM Plex Sans"/>
          <w:rtl w:val="0"/>
        </w:rPr>
        <w:t xml:space="preserve">Frontend: React Native or Flutter</w:t>
      </w:r>
    </w:p>
    <w:p w:rsidR="00000000" w:rsidDel="00000000" w:rsidP="00000000" w:rsidRDefault="00000000" w:rsidRPr="00000000" w14:paraId="00000007">
      <w:pPr>
        <w:numPr>
          <w:ilvl w:val="0"/>
          <w:numId w:val="3"/>
        </w:numPr>
        <w:spacing w:after="0" w:afterAutospacing="0" w:before="0" w:beforeAutospacing="0" w:lineRule="auto"/>
        <w:ind w:left="720" w:hanging="360"/>
        <w:rPr>
          <w:rFonts w:ascii="IBM Plex Sans" w:cs="IBM Plex Sans" w:eastAsia="IBM Plex Sans" w:hAnsi="IBM Plex Sans"/>
        </w:rPr>
      </w:pPr>
      <w:r w:rsidDel="00000000" w:rsidR="00000000" w:rsidRPr="00000000">
        <w:rPr>
          <w:rFonts w:ascii="IBM Plex Sans" w:cs="IBM Plex Sans" w:eastAsia="IBM Plex Sans" w:hAnsi="IBM Plex Sans"/>
          <w:rtl w:val="0"/>
        </w:rPr>
        <w:t xml:space="preserve">Backend: API integration with RiskPal’s existing AngularJS/Node.js platform</w:t>
      </w:r>
    </w:p>
    <w:p w:rsidR="00000000" w:rsidDel="00000000" w:rsidP="00000000" w:rsidRDefault="00000000" w:rsidRPr="00000000" w14:paraId="00000008">
      <w:pPr>
        <w:numPr>
          <w:ilvl w:val="0"/>
          <w:numId w:val="3"/>
        </w:numPr>
        <w:spacing w:after="240" w:before="0" w:beforeAutospacing="0" w:lineRule="auto"/>
        <w:ind w:left="720" w:hanging="360"/>
        <w:rPr>
          <w:rFonts w:ascii="IBM Plex Sans" w:cs="IBM Plex Sans" w:eastAsia="IBM Plex Sans" w:hAnsi="IBM Plex Sans"/>
        </w:rPr>
      </w:pPr>
      <w:r w:rsidDel="00000000" w:rsidR="00000000" w:rsidRPr="00000000">
        <w:rPr>
          <w:rFonts w:ascii="IBM Plex Sans" w:cs="IBM Plex Sans" w:eastAsia="IBM Plex Sans" w:hAnsi="IBM Plex Sans"/>
          <w:rtl w:val="0"/>
        </w:rPr>
        <w:t xml:space="preserve">Database: MongoDB (AWS hosted)</w:t>
      </w:r>
    </w:p>
    <w:p w:rsidR="00000000" w:rsidDel="00000000" w:rsidP="00000000" w:rsidRDefault="00000000" w:rsidRPr="00000000" w14:paraId="00000009">
      <w:pPr>
        <w:spacing w:after="240" w:before="240" w:lineRule="auto"/>
        <w:rPr>
          <w:rFonts w:ascii="IBM Plex Sans" w:cs="IBM Plex Sans" w:eastAsia="IBM Plex Sans" w:hAnsi="IBM Plex Sans"/>
          <w:b w:val="1"/>
        </w:rPr>
      </w:pPr>
      <w:r w:rsidDel="00000000" w:rsidR="00000000" w:rsidRPr="00000000">
        <w:rPr>
          <w:rFonts w:ascii="IBM Plex Sans" w:cs="IBM Plex Sans" w:eastAsia="IBM Plex Sans" w:hAnsi="IBM Plex Sans"/>
          <w:b w:val="1"/>
          <w:rtl w:val="0"/>
        </w:rPr>
        <w:t xml:space="preserve">Team Allocation:</w:t>
      </w:r>
    </w:p>
    <w:p w:rsidR="00000000" w:rsidDel="00000000" w:rsidP="00000000" w:rsidRDefault="00000000" w:rsidRPr="00000000" w14:paraId="0000000A">
      <w:pPr>
        <w:numPr>
          <w:ilvl w:val="0"/>
          <w:numId w:val="3"/>
        </w:numPr>
        <w:spacing w:after="0" w:afterAutospacing="0" w:before="240" w:lineRule="auto"/>
        <w:ind w:left="720" w:hanging="360"/>
        <w:rPr>
          <w:rFonts w:ascii="IBM Plex Sans" w:cs="IBM Plex Sans" w:eastAsia="IBM Plex Sans" w:hAnsi="IBM Plex Sans"/>
        </w:rPr>
      </w:pPr>
      <w:r w:rsidDel="00000000" w:rsidR="00000000" w:rsidRPr="00000000">
        <w:rPr>
          <w:rFonts w:ascii="IBM Plex Sans" w:cs="IBM Plex Sans" w:eastAsia="IBM Plex Sans" w:hAnsi="IBM Plex Sans"/>
          <w:rtl w:val="0"/>
        </w:rPr>
        <w:t xml:space="preserve">Project Coordinator: Name , Email and Skype </w:t>
      </w:r>
    </w:p>
    <w:p w:rsidR="00000000" w:rsidDel="00000000" w:rsidP="00000000" w:rsidRDefault="00000000" w:rsidRPr="00000000" w14:paraId="0000000B">
      <w:pPr>
        <w:numPr>
          <w:ilvl w:val="0"/>
          <w:numId w:val="3"/>
        </w:numPr>
        <w:spacing w:after="0" w:afterAutospacing="0" w:before="0" w:beforeAutospacing="0" w:lineRule="auto"/>
        <w:ind w:left="720" w:hanging="360"/>
        <w:rPr>
          <w:rFonts w:ascii="IBM Plex Sans" w:cs="IBM Plex Sans" w:eastAsia="IBM Plex Sans" w:hAnsi="IBM Plex Sans"/>
        </w:rPr>
      </w:pPr>
      <w:r w:rsidDel="00000000" w:rsidR="00000000" w:rsidRPr="00000000">
        <w:rPr>
          <w:rFonts w:ascii="IBM Plex Sans" w:cs="IBM Plex Sans" w:eastAsia="IBM Plex Sans" w:hAnsi="IBM Plex Sans"/>
          <w:rtl w:val="0"/>
        </w:rPr>
        <w:t xml:space="preserve">Project Owner:</w:t>
      </w:r>
    </w:p>
    <w:p w:rsidR="00000000" w:rsidDel="00000000" w:rsidP="00000000" w:rsidRDefault="00000000" w:rsidRPr="00000000" w14:paraId="0000000C">
      <w:pPr>
        <w:numPr>
          <w:ilvl w:val="0"/>
          <w:numId w:val="3"/>
        </w:numPr>
        <w:spacing w:after="0" w:afterAutospacing="0" w:before="0" w:beforeAutospacing="0" w:lineRule="auto"/>
        <w:ind w:left="720" w:hanging="360"/>
        <w:rPr>
          <w:rFonts w:ascii="IBM Plex Sans" w:cs="IBM Plex Sans" w:eastAsia="IBM Plex Sans" w:hAnsi="IBM Plex Sans"/>
        </w:rPr>
      </w:pPr>
      <w:r w:rsidDel="00000000" w:rsidR="00000000" w:rsidRPr="00000000">
        <w:rPr>
          <w:rFonts w:ascii="IBM Plex Sans" w:cs="IBM Plex Sans" w:eastAsia="IBM Plex Sans" w:hAnsi="IBM Plex Sans"/>
          <w:rtl w:val="0"/>
        </w:rPr>
        <w:t xml:space="preserve">TeamLead:</w:t>
      </w:r>
    </w:p>
    <w:p w:rsidR="00000000" w:rsidDel="00000000" w:rsidP="00000000" w:rsidRDefault="00000000" w:rsidRPr="00000000" w14:paraId="0000000D">
      <w:pPr>
        <w:numPr>
          <w:ilvl w:val="0"/>
          <w:numId w:val="3"/>
        </w:numPr>
        <w:spacing w:after="0" w:afterAutospacing="0" w:before="0" w:beforeAutospacing="0" w:lineRule="auto"/>
        <w:ind w:left="720" w:hanging="360"/>
        <w:rPr>
          <w:rFonts w:ascii="IBM Plex Sans" w:cs="IBM Plex Sans" w:eastAsia="IBM Plex Sans" w:hAnsi="IBM Plex Sans"/>
        </w:rPr>
      </w:pPr>
      <w:r w:rsidDel="00000000" w:rsidR="00000000" w:rsidRPr="00000000">
        <w:rPr>
          <w:rFonts w:ascii="IBM Plex Sans" w:cs="IBM Plex Sans" w:eastAsia="IBM Plex Sans" w:hAnsi="IBM Plex Sans"/>
          <w:rtl w:val="0"/>
        </w:rPr>
        <w:t xml:space="preserve">Frontend: </w:t>
      </w:r>
    </w:p>
    <w:p w:rsidR="00000000" w:rsidDel="00000000" w:rsidP="00000000" w:rsidRDefault="00000000" w:rsidRPr="00000000" w14:paraId="0000000E">
      <w:pPr>
        <w:numPr>
          <w:ilvl w:val="0"/>
          <w:numId w:val="3"/>
        </w:numPr>
        <w:spacing w:after="0" w:afterAutospacing="0" w:before="0" w:beforeAutospacing="0" w:lineRule="auto"/>
        <w:ind w:left="720" w:hanging="360"/>
        <w:rPr>
          <w:rFonts w:ascii="IBM Plex Sans" w:cs="IBM Plex Sans" w:eastAsia="IBM Plex Sans" w:hAnsi="IBM Plex Sans"/>
        </w:rPr>
      </w:pPr>
      <w:r w:rsidDel="00000000" w:rsidR="00000000" w:rsidRPr="00000000">
        <w:rPr>
          <w:rFonts w:ascii="IBM Plex Sans" w:cs="IBM Plex Sans" w:eastAsia="IBM Plex Sans" w:hAnsi="IBM Plex Sans"/>
          <w:rtl w:val="0"/>
        </w:rPr>
        <w:t xml:space="preserve">Backend: </w:t>
      </w:r>
    </w:p>
    <w:p w:rsidR="00000000" w:rsidDel="00000000" w:rsidP="00000000" w:rsidRDefault="00000000" w:rsidRPr="00000000" w14:paraId="0000000F">
      <w:pPr>
        <w:numPr>
          <w:ilvl w:val="0"/>
          <w:numId w:val="3"/>
        </w:numPr>
        <w:spacing w:after="240" w:before="0" w:beforeAutospacing="0" w:lineRule="auto"/>
        <w:ind w:left="720" w:hanging="360"/>
        <w:rPr>
          <w:rFonts w:ascii="IBM Plex Sans" w:cs="IBM Plex Sans" w:eastAsia="IBM Plex Sans" w:hAnsi="IBM Plex Sans"/>
        </w:rPr>
      </w:pPr>
      <w:r w:rsidDel="00000000" w:rsidR="00000000" w:rsidRPr="00000000">
        <w:rPr>
          <w:rFonts w:ascii="IBM Plex Sans" w:cs="IBM Plex Sans" w:eastAsia="IBM Plex Sans" w:hAnsi="IBM Plex Sans"/>
          <w:rtl w:val="0"/>
        </w:rPr>
        <w:t xml:space="preserve">QA: </w:t>
      </w:r>
    </w:p>
    <w:p w:rsidR="00000000" w:rsidDel="00000000" w:rsidP="00000000" w:rsidRDefault="00000000" w:rsidRPr="00000000" w14:paraId="00000010">
      <w:pPr>
        <w:spacing w:after="240" w:before="240" w:lineRule="auto"/>
        <w:rPr>
          <w:rFonts w:ascii="IBM Plex Sans" w:cs="IBM Plex Sans" w:eastAsia="IBM Plex Sans" w:hAnsi="IBM Plex Sans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spacing w:after="240" w:before="240" w:lineRule="auto"/>
        <w:rPr>
          <w:rFonts w:ascii="IBM Plex Sans" w:cs="IBM Plex Sans" w:eastAsia="IBM Plex Sans" w:hAnsi="IBM Plex Sans"/>
          <w:b w:val="1"/>
        </w:rPr>
      </w:pPr>
      <w:r w:rsidDel="00000000" w:rsidR="00000000" w:rsidRPr="00000000">
        <w:rPr>
          <w:rFonts w:ascii="IBM Plex Sans" w:cs="IBM Plex Sans" w:eastAsia="IBM Plex Sans" w:hAnsi="IBM Plex Sans"/>
          <w:b w:val="1"/>
          <w:rtl w:val="0"/>
        </w:rPr>
        <w:t xml:space="preserve">Scope of Work:</w:t>
      </w:r>
    </w:p>
    <w:p w:rsidR="00000000" w:rsidDel="00000000" w:rsidP="00000000" w:rsidRDefault="00000000" w:rsidRPr="00000000" w14:paraId="00000012">
      <w:pPr>
        <w:numPr>
          <w:ilvl w:val="0"/>
          <w:numId w:val="2"/>
        </w:numPr>
        <w:spacing w:after="0" w:afterAutospacing="0" w:before="240" w:lineRule="auto"/>
        <w:ind w:left="720" w:hanging="360"/>
        <w:rPr>
          <w:rFonts w:ascii="IBM Plex Sans" w:cs="IBM Plex Sans" w:eastAsia="IBM Plex Sans" w:hAnsi="IBM Plex Sans"/>
        </w:rPr>
      </w:pPr>
      <w:r w:rsidDel="00000000" w:rsidR="00000000" w:rsidRPr="00000000">
        <w:rPr>
          <w:rFonts w:ascii="IBM Plex Sans" w:cs="IBM Plex Sans" w:eastAsia="IBM Plex Sans" w:hAnsi="IBM Plex Sans"/>
          <w:b w:val="1"/>
          <w:rtl w:val="0"/>
        </w:rPr>
        <w:t xml:space="preserve">Milestone 1:</w:t>
      </w:r>
      <w:r w:rsidDel="00000000" w:rsidR="00000000" w:rsidRPr="00000000">
        <w:rPr>
          <w:rFonts w:ascii="IBM Plex Sans" w:cs="IBM Plex Sans" w:eastAsia="IBM Plex Sans" w:hAnsi="IBM Plex Sans"/>
          <w:rtl w:val="0"/>
        </w:rPr>
        <w:t xml:space="preserve"> Risk Assessment Form Development</w:t>
      </w:r>
    </w:p>
    <w:p w:rsidR="00000000" w:rsidDel="00000000" w:rsidP="00000000" w:rsidRDefault="00000000" w:rsidRPr="00000000" w14:paraId="00000013">
      <w:pPr>
        <w:numPr>
          <w:ilvl w:val="0"/>
          <w:numId w:val="2"/>
        </w:numPr>
        <w:spacing w:after="0" w:afterAutospacing="0" w:before="0" w:beforeAutospacing="0" w:lineRule="auto"/>
        <w:ind w:left="720" w:hanging="360"/>
        <w:rPr>
          <w:rFonts w:ascii="IBM Plex Sans" w:cs="IBM Plex Sans" w:eastAsia="IBM Plex Sans" w:hAnsi="IBM Plex Sans"/>
        </w:rPr>
      </w:pPr>
      <w:r w:rsidDel="00000000" w:rsidR="00000000" w:rsidRPr="00000000">
        <w:rPr>
          <w:rFonts w:ascii="IBM Plex Sans" w:cs="IBM Plex Sans" w:eastAsia="IBM Plex Sans" w:hAnsi="IBM Plex Sans"/>
          <w:b w:val="1"/>
          <w:rtl w:val="0"/>
        </w:rPr>
        <w:t xml:space="preserve">Milestone 2:</w:t>
      </w:r>
      <w:r w:rsidDel="00000000" w:rsidR="00000000" w:rsidRPr="00000000">
        <w:rPr>
          <w:rFonts w:ascii="IBM Plex Sans" w:cs="IBM Plex Sans" w:eastAsia="IBM Plex Sans" w:hAnsi="IBM Plex Sans"/>
          <w:rtl w:val="0"/>
        </w:rPr>
        <w:t xml:space="preserve"> Personal Risk Assessment Register</w:t>
      </w:r>
    </w:p>
    <w:p w:rsidR="00000000" w:rsidDel="00000000" w:rsidP="00000000" w:rsidRDefault="00000000" w:rsidRPr="00000000" w14:paraId="00000014">
      <w:pPr>
        <w:numPr>
          <w:ilvl w:val="0"/>
          <w:numId w:val="2"/>
        </w:numPr>
        <w:spacing w:after="0" w:afterAutospacing="0" w:before="0" w:beforeAutospacing="0" w:lineRule="auto"/>
        <w:ind w:left="720" w:hanging="360"/>
        <w:rPr>
          <w:rFonts w:ascii="IBM Plex Sans" w:cs="IBM Plex Sans" w:eastAsia="IBM Plex Sans" w:hAnsi="IBM Plex Sans"/>
        </w:rPr>
      </w:pPr>
      <w:r w:rsidDel="00000000" w:rsidR="00000000" w:rsidRPr="00000000">
        <w:rPr>
          <w:rFonts w:ascii="IBM Plex Sans" w:cs="IBM Plex Sans" w:eastAsia="IBM Plex Sans" w:hAnsi="IBM Plex Sans"/>
          <w:b w:val="1"/>
          <w:rtl w:val="0"/>
        </w:rPr>
        <w:t xml:space="preserve">Milestone 3:</w:t>
      </w:r>
      <w:r w:rsidDel="00000000" w:rsidR="00000000" w:rsidRPr="00000000">
        <w:rPr>
          <w:rFonts w:ascii="IBM Plex Sans" w:cs="IBM Plex Sans" w:eastAsia="IBM Plex Sans" w:hAnsi="IBM Plex Sans"/>
          <w:rtl w:val="0"/>
        </w:rPr>
        <w:t xml:space="preserve"> Mobile Update Feature (attachments, geolocation)</w:t>
      </w:r>
    </w:p>
    <w:p w:rsidR="00000000" w:rsidDel="00000000" w:rsidP="00000000" w:rsidRDefault="00000000" w:rsidRPr="00000000" w14:paraId="00000015">
      <w:pPr>
        <w:numPr>
          <w:ilvl w:val="0"/>
          <w:numId w:val="2"/>
        </w:numPr>
        <w:spacing w:after="240" w:before="0" w:beforeAutospacing="0" w:lineRule="auto"/>
        <w:ind w:left="720" w:hanging="360"/>
        <w:rPr>
          <w:rFonts w:ascii="IBM Plex Sans" w:cs="IBM Plex Sans" w:eastAsia="IBM Plex Sans" w:hAnsi="IBM Plex Sans"/>
        </w:rPr>
      </w:pPr>
      <w:r w:rsidDel="00000000" w:rsidR="00000000" w:rsidRPr="00000000">
        <w:rPr>
          <w:rFonts w:ascii="IBM Plex Sans" w:cs="IBM Plex Sans" w:eastAsia="IBM Plex Sans" w:hAnsi="IBM Plex Sans"/>
          <w:b w:val="1"/>
          <w:rtl w:val="0"/>
        </w:rPr>
        <w:t xml:space="preserve">Milestone 4:</w:t>
      </w:r>
      <w:r w:rsidDel="00000000" w:rsidR="00000000" w:rsidRPr="00000000">
        <w:rPr>
          <w:rFonts w:ascii="IBM Plex Sans" w:cs="IBM Plex Sans" w:eastAsia="IBM Plex Sans" w:hAnsi="IBM Plex Sans"/>
          <w:rtl w:val="0"/>
        </w:rPr>
        <w:t xml:space="preserve"> Push Notifications and Deep Linking</w:t>
      </w:r>
    </w:p>
    <w:p w:rsidR="00000000" w:rsidDel="00000000" w:rsidP="00000000" w:rsidRDefault="00000000" w:rsidRPr="00000000" w14:paraId="00000016">
      <w:pPr>
        <w:spacing w:after="240" w:before="240" w:lineRule="auto"/>
        <w:rPr>
          <w:rFonts w:ascii="IBM Plex Sans" w:cs="IBM Plex Sans" w:eastAsia="IBM Plex Sans" w:hAnsi="IBM Plex Sans"/>
          <w:b w:val="1"/>
        </w:rPr>
      </w:pPr>
      <w:r w:rsidDel="00000000" w:rsidR="00000000" w:rsidRPr="00000000">
        <w:rPr>
          <w:rFonts w:ascii="IBM Plex Sans" w:cs="IBM Plex Sans" w:eastAsia="IBM Plex Sans" w:hAnsi="IBM Plex Sans"/>
          <w:b w:val="1"/>
          <w:rtl w:val="0"/>
        </w:rPr>
        <w:t xml:space="preserve">Assumptions:</w:t>
      </w:r>
    </w:p>
    <w:p w:rsidR="00000000" w:rsidDel="00000000" w:rsidP="00000000" w:rsidRDefault="00000000" w:rsidRPr="00000000" w14:paraId="00000017">
      <w:pPr>
        <w:numPr>
          <w:ilvl w:val="0"/>
          <w:numId w:val="1"/>
        </w:numPr>
        <w:spacing w:after="0" w:afterAutospacing="0" w:before="240" w:lineRule="auto"/>
        <w:ind w:left="720" w:hanging="360"/>
        <w:rPr>
          <w:rFonts w:ascii="IBM Plex Sans" w:cs="IBM Plex Sans" w:eastAsia="IBM Plex Sans" w:hAnsi="IBM Plex Sans"/>
        </w:rPr>
      </w:pPr>
      <w:r w:rsidDel="00000000" w:rsidR="00000000" w:rsidRPr="00000000">
        <w:rPr>
          <w:rFonts w:ascii="IBM Plex Sans" w:cs="IBM Plex Sans" w:eastAsia="IBM Plex Sans" w:hAnsi="IBM Plex Sans"/>
          <w:rtl w:val="0"/>
        </w:rPr>
        <w:t xml:space="preserve">API endpoints provided by the backend team.</w:t>
      </w:r>
    </w:p>
    <w:p w:rsidR="00000000" w:rsidDel="00000000" w:rsidP="00000000" w:rsidRDefault="00000000" w:rsidRPr="00000000" w14:paraId="00000018">
      <w:pPr>
        <w:numPr>
          <w:ilvl w:val="0"/>
          <w:numId w:val="1"/>
        </w:numPr>
        <w:spacing w:after="240" w:before="0" w:beforeAutospacing="0" w:lineRule="auto"/>
        <w:ind w:left="720" w:hanging="360"/>
        <w:rPr>
          <w:rFonts w:ascii="IBM Plex Sans" w:cs="IBM Plex Sans" w:eastAsia="IBM Plex Sans" w:hAnsi="IBM Plex Sans"/>
        </w:rPr>
      </w:pPr>
      <w:r w:rsidDel="00000000" w:rsidR="00000000" w:rsidRPr="00000000">
        <w:rPr>
          <w:rFonts w:ascii="IBM Plex Sans" w:cs="IBM Plex Sans" w:eastAsia="IBM Plex Sans" w:hAnsi="IBM Plex Sans"/>
          <w:rtl w:val="0"/>
        </w:rPr>
        <w:t xml:space="preserve">All designs will be finalized before development begins.</w:t>
      </w:r>
    </w:p>
    <w:p w:rsidR="00000000" w:rsidDel="00000000" w:rsidP="00000000" w:rsidRDefault="00000000" w:rsidRPr="00000000" w14:paraId="00000019">
      <w:pPr>
        <w:spacing w:after="240" w:before="240" w:lineRule="auto"/>
        <w:rPr>
          <w:rFonts w:ascii="IBM Plex Sans" w:cs="IBM Plex Sans" w:eastAsia="IBM Plex Sans" w:hAnsi="IBM Plex Sans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rPr>
          <w:rFonts w:ascii="IBM Plex Sans" w:cs="IBM Plex Sans" w:eastAsia="IBM Plex Sans" w:hAnsi="IBM Plex Sans"/>
        </w:rPr>
      </w:pPr>
      <w:r w:rsidDel="00000000" w:rsidR="00000000" w:rsidRPr="00000000">
        <w:rPr>
          <w:rtl w:val="0"/>
        </w:rPr>
      </w:r>
    </w:p>
    <w:sectPr>
      <w:type w:val="nextPage"/>
      <w:pgSz w:h="15840" w:w="12240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IBM Plex Sans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Roboto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  <w:font w:name="Roboto Medium">
    <w:embedRegular w:fontKey="{00000000-0000-0000-0000-000000000000}" r:id="rId9" w:subsetted="0"/>
    <w:embedBold w:fontKey="{00000000-0000-0000-0000-000000000000}" r:id="rId10" w:subsetted="0"/>
    <w:embedItalic w:fontKey="{00000000-0000-0000-0000-000000000000}" r:id="rId11" w:subsetted="0"/>
    <w:embedBoldItalic w:fontKey="{00000000-0000-0000-0000-000000000000}" r:id="rId12" w:subsetted="0"/>
  </w:font>
  <w:font w:name="IBM Plex Sans Medium">
    <w:embedRegular w:fontKey="{00000000-0000-0000-0000-000000000000}" r:id="rId13" w:subsetted="0"/>
    <w:embedBold w:fontKey="{00000000-0000-0000-0000-000000000000}" r:id="rId14" w:subsetted="0"/>
    <w:embedItalic w:fontKey="{00000000-0000-0000-0000-000000000000}" r:id="rId15" w:subsetted="0"/>
    <w:embedBoldItalic w:fontKey="{00000000-0000-0000-0000-000000000000}" r:id="rId16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isplayBackgroundShape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Roboto" w:cs="Roboto" w:eastAsia="Roboto" w:hAnsi="Roboto"/>
        <w:color w:val="1f1f1f"/>
        <w:sz w:val="24"/>
        <w:szCs w:val="24"/>
        <w:lang w:val="en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60" w:before="80" w:lineRule="auto"/>
      <w:ind w:left="0"/>
    </w:pPr>
    <w:rPr>
      <w:rFonts w:ascii="Roboto Medium" w:cs="Roboto Medium" w:eastAsia="Roboto Medium" w:hAnsi="Roboto Medium"/>
      <w:sz w:val="44"/>
      <w:szCs w:val="44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320" w:lineRule="auto"/>
    </w:pPr>
    <w:rPr>
      <w:rFonts w:ascii="Roboto Medium" w:cs="Roboto Medium" w:eastAsia="Roboto Medium" w:hAnsi="Roboto Medium"/>
      <w:sz w:val="40"/>
      <w:szCs w:val="40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320" w:lineRule="auto"/>
      <w:ind w:left="0"/>
    </w:pPr>
    <w:rPr>
      <w:rFonts w:ascii="Roboto Medium" w:cs="Roboto Medium" w:eastAsia="Roboto Medium" w:hAnsi="Roboto Medium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120" w:before="360" w:line="240" w:lineRule="auto"/>
      <w:ind w:left="0"/>
    </w:pPr>
    <w:rPr>
      <w:rFonts w:ascii="Roboto Medium" w:cs="Roboto Medium" w:eastAsia="Roboto Medium" w:hAnsi="Roboto Medium"/>
    </w:rPr>
  </w:style>
  <w:style w:type="paragraph" w:styleId="Heading5">
    <w:name w:val="heading 5"/>
    <w:basedOn w:val="Normal"/>
    <w:next w:val="Normal"/>
    <w:pPr>
      <w:keepNext w:val="1"/>
      <w:keepLines w:val="1"/>
      <w:spacing w:after="120" w:before="320" w:line="240" w:lineRule="auto"/>
      <w:ind w:left="0"/>
    </w:pPr>
    <w:rPr>
      <w:rFonts w:ascii="Roboto Medium" w:cs="Roboto Medium" w:eastAsia="Roboto Medium" w:hAnsi="Roboto Medium"/>
      <w:i w:val="1"/>
    </w:rPr>
  </w:style>
  <w:style w:type="paragraph" w:styleId="Heading6">
    <w:name w:val="heading 6"/>
    <w:basedOn w:val="Normal"/>
    <w:next w:val="Normal"/>
    <w:pPr>
      <w:keepNext w:val="1"/>
      <w:keepLines w:val="1"/>
      <w:spacing w:after="120" w:before="320" w:line="240" w:lineRule="auto"/>
      <w:ind w:left="0"/>
    </w:pPr>
    <w:rPr/>
  </w:style>
  <w:style w:type="paragraph" w:styleId="Title">
    <w:name w:val="Title"/>
    <w:basedOn w:val="Normal"/>
    <w:next w:val="Normal"/>
    <w:pPr>
      <w:keepNext w:val="1"/>
      <w:keepLines w:val="1"/>
      <w:spacing w:line="216" w:lineRule="auto"/>
      <w:ind w:left="0"/>
    </w:pPr>
    <w:rPr>
      <w:rFonts w:ascii="Roboto Medium" w:cs="Roboto Medium" w:eastAsia="Roboto Medium" w:hAnsi="Roboto Medium"/>
      <w:sz w:val="120"/>
      <w:szCs w:val="120"/>
    </w:rPr>
  </w:style>
  <w:style w:type="paragraph" w:styleId="Subtitle">
    <w:name w:val="Subtitle"/>
    <w:basedOn w:val="Normal"/>
    <w:next w:val="Normal"/>
    <w:pPr>
      <w:keepNext w:val="1"/>
      <w:keepLines w:val="1"/>
      <w:spacing w:line="240" w:lineRule="auto"/>
      <w:ind w:left="0"/>
    </w:pPr>
    <w:rPr>
      <w:rFonts w:ascii="Roboto Medium" w:cs="Roboto Medium" w:eastAsia="Roboto Medium" w:hAnsi="Roboto Medium"/>
      <w:color w:val="5c5f5e"/>
      <w:sz w:val="72"/>
      <w:szCs w:val="72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1" Type="http://schemas.openxmlformats.org/officeDocument/2006/relationships/font" Target="fonts/RobotoMedium-italic.ttf"/><Relationship Id="rId10" Type="http://schemas.openxmlformats.org/officeDocument/2006/relationships/font" Target="fonts/RobotoMedium-bold.ttf"/><Relationship Id="rId13" Type="http://schemas.openxmlformats.org/officeDocument/2006/relationships/font" Target="fonts/IBMPlexSansMedium-regular.ttf"/><Relationship Id="rId12" Type="http://schemas.openxmlformats.org/officeDocument/2006/relationships/font" Target="fonts/RobotoMedium-boldItalic.ttf"/><Relationship Id="rId1" Type="http://schemas.openxmlformats.org/officeDocument/2006/relationships/font" Target="fonts/IBMPlexSans-regular.ttf"/><Relationship Id="rId2" Type="http://schemas.openxmlformats.org/officeDocument/2006/relationships/font" Target="fonts/IBMPlexSans-bold.ttf"/><Relationship Id="rId3" Type="http://schemas.openxmlformats.org/officeDocument/2006/relationships/font" Target="fonts/IBMPlexSans-italic.ttf"/><Relationship Id="rId4" Type="http://schemas.openxmlformats.org/officeDocument/2006/relationships/font" Target="fonts/IBMPlexSans-boldItalic.ttf"/><Relationship Id="rId9" Type="http://schemas.openxmlformats.org/officeDocument/2006/relationships/font" Target="fonts/RobotoMedium-regular.ttf"/><Relationship Id="rId15" Type="http://schemas.openxmlformats.org/officeDocument/2006/relationships/font" Target="fonts/IBMPlexSansMedium-italic.ttf"/><Relationship Id="rId14" Type="http://schemas.openxmlformats.org/officeDocument/2006/relationships/font" Target="fonts/IBMPlexSansMedium-bold.ttf"/><Relationship Id="rId16" Type="http://schemas.openxmlformats.org/officeDocument/2006/relationships/font" Target="fonts/IBMPlexSansMedium-boldItalic.ttf"/><Relationship Id="rId5" Type="http://schemas.openxmlformats.org/officeDocument/2006/relationships/font" Target="fonts/Roboto-regular.ttf"/><Relationship Id="rId6" Type="http://schemas.openxmlformats.org/officeDocument/2006/relationships/font" Target="fonts/Roboto-bold.ttf"/><Relationship Id="rId7" Type="http://schemas.openxmlformats.org/officeDocument/2006/relationships/font" Target="fonts/Roboto-italic.ttf"/><Relationship Id="rId8" Type="http://schemas.openxmlformats.org/officeDocument/2006/relationships/font" Target="fonts/Roboto-boldItalic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